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4CDE1" w14:textId="77777777" w:rsidR="009B5B73" w:rsidRDefault="009B5B73" w:rsidP="009B5B73">
      <w:pPr>
        <w:tabs>
          <w:tab w:val="left" w:pos="142"/>
          <w:tab w:val="left" w:pos="567"/>
        </w:tabs>
        <w:spacing w:after="0"/>
        <w:jc w:val="center"/>
        <w:rPr>
          <w:rFonts w:ascii="Arial" w:hAnsi="Arial" w:cs="Arial"/>
          <w:b/>
          <w:sz w:val="20"/>
          <w:szCs w:val="20"/>
        </w:rPr>
      </w:pPr>
      <w:r w:rsidRPr="005A7D96">
        <w:rPr>
          <w:rFonts w:ascii="Arial" w:hAnsi="Arial" w:cs="Arial"/>
          <w:b/>
          <w:sz w:val="20"/>
          <w:szCs w:val="20"/>
        </w:rPr>
        <w:t>Dėl pirkimo neskaidymo į dalis</w:t>
      </w:r>
    </w:p>
    <w:p w14:paraId="477B0CAD" w14:textId="77777777" w:rsidR="009B5B73" w:rsidRDefault="009B5B73" w:rsidP="009B5B73">
      <w:pPr>
        <w:tabs>
          <w:tab w:val="left" w:pos="142"/>
          <w:tab w:val="left" w:pos="567"/>
        </w:tabs>
        <w:spacing w:after="0"/>
        <w:jc w:val="center"/>
        <w:rPr>
          <w:rFonts w:ascii="Arial" w:hAnsi="Arial" w:cs="Arial"/>
          <w:b/>
          <w:sz w:val="20"/>
          <w:szCs w:val="20"/>
        </w:rPr>
      </w:pPr>
    </w:p>
    <w:p w14:paraId="56A21DD1" w14:textId="77777777" w:rsidR="009B5B73" w:rsidRPr="005A7D96" w:rsidRDefault="009B5B73" w:rsidP="009B5B73">
      <w:pPr>
        <w:tabs>
          <w:tab w:val="left" w:pos="142"/>
          <w:tab w:val="left" w:pos="567"/>
        </w:tabs>
        <w:spacing w:after="0"/>
        <w:jc w:val="center"/>
        <w:rPr>
          <w:rFonts w:ascii="Arial" w:hAnsi="Arial" w:cs="Arial"/>
          <w:b/>
          <w:sz w:val="20"/>
          <w:szCs w:val="20"/>
        </w:rPr>
      </w:pPr>
    </w:p>
    <w:p w14:paraId="245EB404"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 xml:space="preserve">UAB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grupės paslaugų centras (toliau – Pirkėjas/GPC) yra viena didžiausių Lietuvoje ITT bendrovių, teikianti IT ir telekomunikacijų paslaugas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 AB grupės įmonėms (toliau –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 GPC veiklą organizuoja pagal geriausias pasaulio vadybos praktikas, o visą su veikla susijusią informaciją valdo pagal aukščiausius standartus: įmonė yra gavusi ISO 9001,  ISO 27001 ir OHSAS 18001  sertifikatus.</w:t>
      </w:r>
    </w:p>
    <w:p w14:paraId="602CD62B" w14:textId="77777777" w:rsidR="009B5B73" w:rsidRPr="00630624" w:rsidRDefault="009B5B73" w:rsidP="009B5B73">
      <w:pPr>
        <w:tabs>
          <w:tab w:val="left" w:pos="142"/>
          <w:tab w:val="left" w:pos="567"/>
        </w:tabs>
        <w:spacing w:after="0"/>
        <w:jc w:val="both"/>
        <w:rPr>
          <w:rFonts w:ascii="Arial" w:hAnsi="Arial" w:cs="Arial"/>
          <w:sz w:val="20"/>
          <w:szCs w:val="20"/>
        </w:rPr>
      </w:pPr>
    </w:p>
    <w:p w14:paraId="33210BDC"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 xml:space="preserve">Šiuo metu GPC koncentruotai paslaugas teikia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grupės  įmonėms:</w:t>
      </w:r>
    </w:p>
    <w:p w14:paraId="15D0C167"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w:t>
      </w:r>
      <w:r w:rsidRPr="00630624">
        <w:rPr>
          <w:rFonts w:ascii="Arial" w:hAnsi="Arial" w:cs="Arial"/>
          <w:sz w:val="20"/>
          <w:szCs w:val="20"/>
        </w:rPr>
        <w:tab/>
        <w:t>prižiūri virš 100 taikomųjų bei duomenų perdavimo sistemų;</w:t>
      </w:r>
    </w:p>
    <w:p w14:paraId="04985507"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w:t>
      </w:r>
      <w:r w:rsidRPr="00630624">
        <w:rPr>
          <w:rFonts w:ascii="Arial" w:hAnsi="Arial" w:cs="Arial"/>
          <w:sz w:val="20"/>
          <w:szCs w:val="20"/>
        </w:rPr>
        <w:tab/>
        <w:t>atlieka 250 tarnybinių stočių ir apie 4000 kompiuterinių darbo vietų visoje Lietuvoje priežiūrą ir aptarnavimą;</w:t>
      </w:r>
    </w:p>
    <w:p w14:paraId="6302A164"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w:t>
      </w:r>
      <w:r w:rsidRPr="00630624">
        <w:rPr>
          <w:rFonts w:ascii="Arial" w:hAnsi="Arial" w:cs="Arial"/>
          <w:sz w:val="20"/>
          <w:szCs w:val="20"/>
        </w:rPr>
        <w:tab/>
        <w:t>projektuoja, diegia ir aptarnauja integruotas IT sistemas;</w:t>
      </w:r>
    </w:p>
    <w:p w14:paraId="76F66DD7"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w:t>
      </w:r>
      <w:r w:rsidRPr="00630624">
        <w:rPr>
          <w:rFonts w:ascii="Arial" w:hAnsi="Arial" w:cs="Arial"/>
          <w:sz w:val="20"/>
          <w:szCs w:val="20"/>
        </w:rPr>
        <w:tab/>
        <w:t>inicijuoja ir įgyvendina strateginius kompetencijų, naujovių, žinių valdymo projektus.</w:t>
      </w:r>
    </w:p>
    <w:p w14:paraId="66E0BC40" w14:textId="77777777" w:rsidR="009B5B73" w:rsidRPr="00630624" w:rsidRDefault="009B5B73" w:rsidP="009B5B73">
      <w:pPr>
        <w:tabs>
          <w:tab w:val="left" w:pos="142"/>
          <w:tab w:val="left" w:pos="567"/>
        </w:tabs>
        <w:spacing w:after="0"/>
        <w:jc w:val="both"/>
        <w:rPr>
          <w:rFonts w:ascii="Arial" w:hAnsi="Arial" w:cs="Arial"/>
          <w:sz w:val="20"/>
          <w:szCs w:val="20"/>
        </w:rPr>
      </w:pPr>
    </w:p>
    <w:p w14:paraId="56A2D9DC" w14:textId="77777777" w:rsidR="009B5B73" w:rsidRPr="00630624"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 xml:space="preserve">Pagrindinis GPC tikslas orientuotas į atitinkantį klientų poreikius, patikimą ITT paslaugų teikimą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grupės įmonėms. Tam tikslui optimizuojami GPC veiklos procesai, optimaliai panaudojamas turtas ir ištekliai, įgyvendinamos veiklos efektyvumą didinančios priemonės, įskaitant ir centralizuotų IT sistemų pirkimą ir pritaikymą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grupės įmonių poreikiams. </w:t>
      </w:r>
    </w:p>
    <w:p w14:paraId="408CBB5E" w14:textId="77777777" w:rsidR="009B5B73" w:rsidRPr="00630624" w:rsidRDefault="009B5B73" w:rsidP="009B5B73">
      <w:pPr>
        <w:tabs>
          <w:tab w:val="left" w:pos="142"/>
          <w:tab w:val="left" w:pos="567"/>
        </w:tabs>
        <w:spacing w:after="0"/>
        <w:jc w:val="both"/>
        <w:rPr>
          <w:rFonts w:ascii="Arial" w:hAnsi="Arial" w:cs="Arial"/>
          <w:sz w:val="20"/>
          <w:szCs w:val="20"/>
        </w:rPr>
      </w:pPr>
    </w:p>
    <w:p w14:paraId="71FCD4F2" w14:textId="77777777" w:rsidR="009B5B73" w:rsidRDefault="009B5B73" w:rsidP="009B5B73">
      <w:pPr>
        <w:tabs>
          <w:tab w:val="left" w:pos="142"/>
          <w:tab w:val="left" w:pos="567"/>
        </w:tabs>
        <w:spacing w:after="0"/>
        <w:jc w:val="both"/>
        <w:rPr>
          <w:rFonts w:ascii="Arial" w:hAnsi="Arial" w:cs="Arial"/>
          <w:sz w:val="20"/>
          <w:szCs w:val="20"/>
        </w:rPr>
      </w:pPr>
      <w:r w:rsidRPr="00630624">
        <w:rPr>
          <w:rFonts w:ascii="Arial" w:hAnsi="Arial" w:cs="Arial"/>
          <w:sz w:val="20"/>
          <w:szCs w:val="20"/>
        </w:rPr>
        <w:t xml:space="preserve">Siekdamas įsigyti didelės apimties ir išteklių reikalaujančias IT sistemas, kurios bus pritaikytos </w:t>
      </w:r>
      <w:proofErr w:type="spellStart"/>
      <w:r w:rsidRPr="00630624">
        <w:rPr>
          <w:rFonts w:ascii="Arial" w:hAnsi="Arial" w:cs="Arial"/>
          <w:sz w:val="20"/>
          <w:szCs w:val="20"/>
        </w:rPr>
        <w:t>Ignitis</w:t>
      </w:r>
      <w:proofErr w:type="spellEnd"/>
      <w:r w:rsidRPr="00630624">
        <w:rPr>
          <w:rFonts w:ascii="Arial" w:hAnsi="Arial" w:cs="Arial"/>
          <w:sz w:val="20"/>
          <w:szCs w:val="20"/>
        </w:rPr>
        <w:t xml:space="preserve"> grupės įmonių specifikai, Pirkėjas inicijuoja viešuosius pirkimus, kurie vykdomi pagal Lietuvos Respublikos viešųjų pirkimų įstatymą (toliau – VPĮ).</w:t>
      </w:r>
    </w:p>
    <w:p w14:paraId="0B8232EA" w14:textId="77777777" w:rsidR="009B5B73" w:rsidRPr="005A7D96" w:rsidRDefault="009B5B73" w:rsidP="009B5B73">
      <w:pPr>
        <w:tabs>
          <w:tab w:val="left" w:pos="142"/>
          <w:tab w:val="left" w:pos="567"/>
        </w:tabs>
        <w:spacing w:after="0"/>
        <w:jc w:val="both"/>
        <w:rPr>
          <w:rFonts w:ascii="Arial" w:hAnsi="Arial" w:cs="Arial"/>
          <w:sz w:val="20"/>
          <w:szCs w:val="20"/>
        </w:rPr>
      </w:pPr>
    </w:p>
    <w:p w14:paraId="1CE7FD2C" w14:textId="77777777" w:rsidR="009B5B73" w:rsidRDefault="009B5B73" w:rsidP="009B5B73">
      <w:pPr>
        <w:tabs>
          <w:tab w:val="left" w:pos="142"/>
          <w:tab w:val="left" w:pos="567"/>
        </w:tabs>
        <w:spacing w:after="0"/>
        <w:jc w:val="both"/>
        <w:rPr>
          <w:rFonts w:ascii="Arial" w:hAnsi="Arial" w:cs="Arial"/>
          <w:bCs/>
          <w:sz w:val="20"/>
          <w:szCs w:val="20"/>
        </w:rPr>
      </w:pPr>
      <w:r w:rsidRPr="005A7D96">
        <w:rPr>
          <w:rFonts w:ascii="Arial" w:hAnsi="Arial" w:cs="Arial"/>
          <w:bCs/>
          <w:sz w:val="20"/>
          <w:szCs w:val="20"/>
        </w:rPr>
        <w:t xml:space="preserve">Vadovaujantis aktualios redakcijos Lietuvos Respublikos viešųjų pirkimų įstatymo (toliau – VPĮ) 28 str. 1 d. nuostatomis, </w:t>
      </w:r>
      <w:r w:rsidRPr="005A7D96">
        <w:rPr>
          <w:rFonts w:ascii="Arial" w:hAnsi="Arial" w:cs="Arial"/>
          <w:sz w:val="20"/>
          <w:szCs w:val="20"/>
        </w:rPr>
        <w:t xml:space="preserve">tarptautinis pirkimas privalo būti skaidomas, išskyrus jei Perkančioji organizacija, vadovaujantis VPĮ 28 str. 2 d. nuostatomis, pirkimo dokumentuose pagrindžia, kad dėl skaidymo sumažėtų tiekėjų konkurencija, pirkimo sutarties vykdymas taptų per daug brangus ar sudėtingas techniniu požiūriu, </w:t>
      </w:r>
      <w:r w:rsidRPr="005A7D96">
        <w:rPr>
          <w:rFonts w:ascii="Arial" w:hAnsi="Arial" w:cs="Arial"/>
          <w:bCs/>
          <w:sz w:val="20"/>
          <w:szCs w:val="20"/>
        </w:rPr>
        <w:t>skirtingų pirkimo objekto dalių įgyvendinimas būtų glaudžiai susijęs ir dėl to</w:t>
      </w:r>
      <w:r w:rsidRPr="005A7D96">
        <w:rPr>
          <w:rFonts w:ascii="Arial" w:hAnsi="Arial" w:cs="Arial"/>
          <w:b/>
          <w:bCs/>
          <w:sz w:val="20"/>
          <w:szCs w:val="20"/>
        </w:rPr>
        <w:t xml:space="preserve"> </w:t>
      </w:r>
      <w:r w:rsidRPr="005A7D96">
        <w:rPr>
          <w:rFonts w:ascii="Arial" w:hAnsi="Arial" w:cs="Arial"/>
          <w:bCs/>
          <w:sz w:val="20"/>
          <w:szCs w:val="20"/>
        </w:rPr>
        <w:t>perkančiajai organizacijai</w:t>
      </w:r>
      <w:r w:rsidRPr="005A7D96">
        <w:rPr>
          <w:rFonts w:ascii="Arial" w:hAnsi="Arial" w:cs="Arial"/>
          <w:b/>
          <w:bCs/>
          <w:sz w:val="20"/>
          <w:szCs w:val="20"/>
        </w:rPr>
        <w:t xml:space="preserve"> </w:t>
      </w:r>
      <w:r w:rsidRPr="005A7D96">
        <w:rPr>
          <w:rFonts w:ascii="Arial" w:hAnsi="Arial" w:cs="Arial"/>
          <w:sz w:val="20"/>
          <w:szCs w:val="20"/>
        </w:rPr>
        <w:t xml:space="preserve">atsirastų būtinybė koordinuoti šių dalių tiekėjus ir tai keltų riziką netinkamai įvykdyti pirkimo sutartį, </w:t>
      </w:r>
      <w:r w:rsidRPr="005A7D96">
        <w:rPr>
          <w:rFonts w:ascii="Arial" w:hAnsi="Arial" w:cs="Arial"/>
          <w:bCs/>
          <w:sz w:val="20"/>
          <w:szCs w:val="20"/>
        </w:rPr>
        <w:t>ar nurodo kitas pagrįstas aplinkybes, dėl kurių netikslinga pirkimo objektą skaidyti į dalis.</w:t>
      </w:r>
    </w:p>
    <w:p w14:paraId="0AE84360" w14:textId="77777777" w:rsidR="009B5B73" w:rsidRDefault="009B5B73" w:rsidP="009B5B73">
      <w:pPr>
        <w:tabs>
          <w:tab w:val="left" w:pos="142"/>
          <w:tab w:val="left" w:pos="567"/>
        </w:tabs>
        <w:spacing w:after="0"/>
        <w:jc w:val="both"/>
        <w:rPr>
          <w:rFonts w:ascii="Arial" w:hAnsi="Arial" w:cs="Arial"/>
          <w:bCs/>
          <w:sz w:val="20"/>
          <w:szCs w:val="20"/>
        </w:rPr>
      </w:pPr>
    </w:p>
    <w:p w14:paraId="0B6D6ACF" w14:textId="3DD8914C" w:rsidR="009B5B73" w:rsidRDefault="009B5B73" w:rsidP="009B5B73">
      <w:pPr>
        <w:tabs>
          <w:tab w:val="left" w:pos="142"/>
          <w:tab w:val="left" w:pos="567"/>
        </w:tabs>
        <w:spacing w:after="0"/>
        <w:jc w:val="both"/>
        <w:rPr>
          <w:rFonts w:ascii="Arial" w:hAnsi="Arial" w:cs="Arial"/>
          <w:bCs/>
          <w:sz w:val="20"/>
          <w:szCs w:val="20"/>
        </w:rPr>
      </w:pPr>
      <w:r w:rsidRPr="00677270">
        <w:rPr>
          <w:rFonts w:ascii="Arial" w:hAnsi="Arial" w:cs="Arial"/>
          <w:bCs/>
          <w:sz w:val="20"/>
          <w:szCs w:val="20"/>
        </w:rPr>
        <w:t xml:space="preserve">GPC inicijuoja </w:t>
      </w:r>
      <w:proofErr w:type="spellStart"/>
      <w:r w:rsidR="00562DE9" w:rsidRPr="00562DE9">
        <w:rPr>
          <w:rFonts w:ascii="Arial" w:hAnsi="Arial" w:cs="Arial"/>
          <w:bCs/>
          <w:sz w:val="20"/>
          <w:szCs w:val="20"/>
        </w:rPr>
        <w:t>EnergySmart</w:t>
      </w:r>
      <w:proofErr w:type="spellEnd"/>
      <w:r w:rsidR="00562DE9" w:rsidRPr="00562DE9">
        <w:rPr>
          <w:rFonts w:ascii="Arial" w:hAnsi="Arial" w:cs="Arial"/>
          <w:bCs/>
          <w:sz w:val="20"/>
          <w:szCs w:val="20"/>
        </w:rPr>
        <w:t xml:space="preserve"> mobilios aplikacijos </w:t>
      </w:r>
      <w:r w:rsidR="00562DE9">
        <w:rPr>
          <w:rFonts w:ascii="Arial" w:hAnsi="Arial" w:cs="Arial"/>
          <w:bCs/>
          <w:sz w:val="20"/>
          <w:szCs w:val="20"/>
        </w:rPr>
        <w:t xml:space="preserve">(toliau Sistema) </w:t>
      </w:r>
      <w:r w:rsidR="00562DE9" w:rsidRPr="00562DE9">
        <w:rPr>
          <w:rFonts w:ascii="Arial" w:hAnsi="Arial" w:cs="Arial"/>
          <w:bCs/>
          <w:sz w:val="20"/>
          <w:szCs w:val="20"/>
        </w:rPr>
        <w:t xml:space="preserve">aptarnavimo </w:t>
      </w:r>
      <w:r w:rsidRPr="00677270">
        <w:rPr>
          <w:rFonts w:ascii="Arial" w:hAnsi="Arial" w:cs="Arial"/>
          <w:bCs/>
          <w:sz w:val="20"/>
          <w:szCs w:val="20"/>
        </w:rPr>
        <w:t>paslaugų, kurias sudaro priežiūros ir vystymo paslaugos (toliau – Paslaugos) tarptautinį viešąjį pirkimą (toliau – Pirkimas). Ši Paslauga</w:t>
      </w:r>
      <w:r>
        <w:rPr>
          <w:rFonts w:ascii="Arial" w:hAnsi="Arial" w:cs="Arial"/>
          <w:bCs/>
          <w:sz w:val="20"/>
          <w:szCs w:val="20"/>
        </w:rPr>
        <w:t xml:space="preserve"> užtikrins savalaikį ir nenutrūkstamą </w:t>
      </w:r>
      <w:proofErr w:type="spellStart"/>
      <w:r w:rsidR="00793833" w:rsidRPr="00562DE9">
        <w:rPr>
          <w:rFonts w:ascii="Arial" w:hAnsi="Arial" w:cs="Arial"/>
          <w:bCs/>
          <w:sz w:val="20"/>
          <w:szCs w:val="20"/>
        </w:rPr>
        <w:t>EnergySmart</w:t>
      </w:r>
      <w:proofErr w:type="spellEnd"/>
      <w:r w:rsidR="00793833" w:rsidRPr="00562DE9">
        <w:rPr>
          <w:rFonts w:ascii="Arial" w:hAnsi="Arial" w:cs="Arial"/>
          <w:bCs/>
          <w:sz w:val="20"/>
          <w:szCs w:val="20"/>
        </w:rPr>
        <w:t xml:space="preserve"> mobilios aplikacijos</w:t>
      </w:r>
      <w:r w:rsidR="00581E18">
        <w:rPr>
          <w:rFonts w:ascii="Arial" w:hAnsi="Arial" w:cs="Arial"/>
          <w:bCs/>
          <w:sz w:val="20"/>
          <w:szCs w:val="20"/>
        </w:rPr>
        <w:t xml:space="preserve">, kuri yra </w:t>
      </w:r>
      <w:r w:rsidR="00581E18" w:rsidRPr="00581E18">
        <w:rPr>
          <w:rFonts w:ascii="Arial" w:hAnsi="Arial" w:cs="Arial"/>
          <w:bCs/>
          <w:sz w:val="20"/>
          <w:szCs w:val="20"/>
        </w:rPr>
        <w:t>energijos vartotojų įrankis stebėti elektros energijos suvartojimą bei gamybą jų objektuose, analizuoti vartojimo tendencijas bei naudoti išmanius energijos vartojimo sprendimus</w:t>
      </w:r>
      <w:r w:rsidR="00581E18">
        <w:rPr>
          <w:rFonts w:ascii="Arial" w:hAnsi="Arial" w:cs="Arial"/>
          <w:bCs/>
          <w:sz w:val="20"/>
          <w:szCs w:val="20"/>
        </w:rPr>
        <w:t>, veikimą</w:t>
      </w:r>
      <w:r>
        <w:rPr>
          <w:rFonts w:ascii="Arial" w:hAnsi="Arial" w:cs="Arial"/>
          <w:bCs/>
          <w:sz w:val="20"/>
          <w:szCs w:val="20"/>
        </w:rPr>
        <w:t xml:space="preserve">. </w:t>
      </w:r>
    </w:p>
    <w:p w14:paraId="0CA3B5FF" w14:textId="7F89BA05" w:rsidR="00F31A87" w:rsidRDefault="00F31A87" w:rsidP="009B5B73">
      <w:pPr>
        <w:tabs>
          <w:tab w:val="left" w:pos="142"/>
          <w:tab w:val="left" w:pos="567"/>
        </w:tabs>
        <w:spacing w:after="0"/>
        <w:jc w:val="both"/>
        <w:rPr>
          <w:rFonts w:ascii="Arial" w:hAnsi="Arial" w:cs="Arial"/>
          <w:bCs/>
          <w:sz w:val="20"/>
          <w:szCs w:val="20"/>
        </w:rPr>
      </w:pPr>
    </w:p>
    <w:p w14:paraId="4B46CA41" w14:textId="77777777" w:rsidR="009B5B73" w:rsidRPr="009044F3" w:rsidRDefault="009B5B73" w:rsidP="009B5B73">
      <w:pPr>
        <w:tabs>
          <w:tab w:val="left" w:pos="142"/>
          <w:tab w:val="left" w:pos="567"/>
        </w:tabs>
        <w:spacing w:after="0"/>
        <w:jc w:val="both"/>
        <w:rPr>
          <w:rFonts w:ascii="Arial" w:hAnsi="Arial" w:cs="Arial"/>
          <w:i/>
          <w:iCs/>
          <w:color w:val="000000"/>
          <w:sz w:val="20"/>
          <w:szCs w:val="20"/>
        </w:rPr>
      </w:pPr>
      <w:r w:rsidRPr="009044F3">
        <w:rPr>
          <w:rFonts w:ascii="Arial" w:hAnsi="Arial" w:cs="Arial"/>
          <w:i/>
          <w:iCs/>
          <w:color w:val="000000"/>
          <w:sz w:val="20"/>
          <w:szCs w:val="20"/>
        </w:rPr>
        <w:t>Kasacinio teismo praktikoje pateisinamas tik toks pirkimo objekt</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sujungimas, jei jis ne tik pagr</w:t>
      </w:r>
      <w:r w:rsidRPr="009044F3">
        <w:rPr>
          <w:rFonts w:ascii="Arial" w:hAnsi="Arial" w:cs="Arial" w:hint="eastAsia"/>
          <w:i/>
          <w:iCs/>
          <w:color w:val="000000"/>
          <w:sz w:val="20"/>
          <w:szCs w:val="20"/>
        </w:rPr>
        <w:t>į</w:t>
      </w:r>
      <w:r w:rsidRPr="009044F3">
        <w:rPr>
          <w:rFonts w:ascii="Arial" w:hAnsi="Arial" w:cs="Arial"/>
          <w:i/>
          <w:iCs/>
          <w:color w:val="000000"/>
          <w:sz w:val="20"/>
          <w:szCs w:val="20"/>
        </w:rPr>
        <w:t>stas svarbiomis prie</w:t>
      </w:r>
      <w:r w:rsidRPr="009044F3">
        <w:rPr>
          <w:rFonts w:ascii="Arial" w:hAnsi="Arial" w:cs="Arial" w:hint="eastAsia"/>
          <w:i/>
          <w:iCs/>
          <w:color w:val="000000"/>
          <w:sz w:val="20"/>
          <w:szCs w:val="20"/>
        </w:rPr>
        <w:t>ž</w:t>
      </w:r>
      <w:r w:rsidRPr="009044F3">
        <w:rPr>
          <w:rFonts w:ascii="Arial" w:hAnsi="Arial" w:cs="Arial"/>
          <w:i/>
          <w:iCs/>
          <w:color w:val="000000"/>
          <w:sz w:val="20"/>
          <w:szCs w:val="20"/>
        </w:rPr>
        <w:t>astimis, bet ir yra b</w:t>
      </w:r>
      <w:r w:rsidRPr="009044F3">
        <w:rPr>
          <w:rFonts w:ascii="Arial" w:hAnsi="Arial" w:cs="Arial" w:hint="eastAsia"/>
          <w:i/>
          <w:iCs/>
          <w:color w:val="000000"/>
          <w:sz w:val="20"/>
          <w:szCs w:val="20"/>
        </w:rPr>
        <w:t>ū</w:t>
      </w:r>
      <w:r w:rsidRPr="009044F3">
        <w:rPr>
          <w:rFonts w:ascii="Arial" w:hAnsi="Arial" w:cs="Arial"/>
          <w:i/>
          <w:iCs/>
          <w:color w:val="000000"/>
          <w:sz w:val="20"/>
          <w:szCs w:val="20"/>
        </w:rPr>
        <w:t>tinas perkan</w:t>
      </w:r>
      <w:r w:rsidRPr="009044F3">
        <w:rPr>
          <w:rFonts w:ascii="Arial" w:hAnsi="Arial" w:cs="Arial" w:hint="eastAsia"/>
          <w:i/>
          <w:iCs/>
          <w:color w:val="000000"/>
          <w:sz w:val="20"/>
          <w:szCs w:val="20"/>
        </w:rPr>
        <w:t>č</w:t>
      </w:r>
      <w:r w:rsidRPr="009044F3">
        <w:rPr>
          <w:rFonts w:ascii="Arial" w:hAnsi="Arial" w:cs="Arial"/>
          <w:i/>
          <w:iCs/>
          <w:color w:val="000000"/>
          <w:sz w:val="20"/>
          <w:szCs w:val="20"/>
        </w:rPr>
        <w:t>iosios organizacijos tikslui pasiekti, o kitomis priemon</w:t>
      </w:r>
      <w:r w:rsidRPr="009044F3">
        <w:rPr>
          <w:rFonts w:ascii="Arial" w:hAnsi="Arial" w:cs="Arial" w:hint="eastAsia"/>
          <w:i/>
          <w:iCs/>
          <w:color w:val="000000"/>
          <w:sz w:val="20"/>
          <w:szCs w:val="20"/>
        </w:rPr>
        <w:t>ė</w:t>
      </w:r>
      <w:r w:rsidRPr="009044F3">
        <w:rPr>
          <w:rFonts w:ascii="Arial" w:hAnsi="Arial" w:cs="Arial"/>
          <w:i/>
          <w:iCs/>
          <w:color w:val="000000"/>
          <w:sz w:val="20"/>
          <w:szCs w:val="20"/>
        </w:rPr>
        <w:t>mis, pavyzd</w:t>
      </w:r>
      <w:r w:rsidRPr="009044F3">
        <w:rPr>
          <w:rFonts w:ascii="Arial" w:hAnsi="Arial" w:cs="Arial" w:hint="eastAsia"/>
          <w:i/>
          <w:iCs/>
          <w:color w:val="000000"/>
          <w:sz w:val="20"/>
          <w:szCs w:val="20"/>
        </w:rPr>
        <w:t>ž</w:t>
      </w:r>
      <w:r w:rsidRPr="009044F3">
        <w:rPr>
          <w:rFonts w:ascii="Arial" w:hAnsi="Arial" w:cs="Arial"/>
          <w:i/>
          <w:iCs/>
          <w:color w:val="000000"/>
          <w:sz w:val="20"/>
          <w:szCs w:val="20"/>
        </w:rPr>
        <w:t>iui, pirkimo objekt</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i</w:t>
      </w:r>
      <w:r w:rsidRPr="009044F3">
        <w:rPr>
          <w:rFonts w:ascii="Arial" w:hAnsi="Arial" w:cs="Arial" w:hint="eastAsia"/>
          <w:i/>
          <w:iCs/>
          <w:color w:val="000000"/>
          <w:sz w:val="20"/>
          <w:szCs w:val="20"/>
        </w:rPr>
        <w:t>š</w:t>
      </w:r>
      <w:r w:rsidRPr="009044F3">
        <w:rPr>
          <w:rFonts w:ascii="Arial" w:hAnsi="Arial" w:cs="Arial"/>
          <w:i/>
          <w:iCs/>
          <w:color w:val="000000"/>
          <w:sz w:val="20"/>
          <w:szCs w:val="20"/>
        </w:rPr>
        <w:t xml:space="preserve">skaidymu, </w:t>
      </w:r>
      <w:r w:rsidRPr="009044F3">
        <w:rPr>
          <w:rFonts w:ascii="Arial" w:hAnsi="Arial" w:cs="Arial" w:hint="eastAsia"/>
          <w:i/>
          <w:iCs/>
          <w:color w:val="000000"/>
          <w:sz w:val="20"/>
          <w:szCs w:val="20"/>
        </w:rPr>
        <w:t>š</w:t>
      </w:r>
      <w:r w:rsidRPr="009044F3">
        <w:rPr>
          <w:rFonts w:ascii="Arial" w:hAnsi="Arial" w:cs="Arial"/>
          <w:i/>
          <w:iCs/>
          <w:color w:val="000000"/>
          <w:sz w:val="20"/>
          <w:szCs w:val="20"/>
        </w:rPr>
        <w:t>io tikslo neb</w:t>
      </w:r>
      <w:r w:rsidRPr="009044F3">
        <w:rPr>
          <w:rFonts w:ascii="Arial" w:hAnsi="Arial" w:cs="Arial" w:hint="eastAsia"/>
          <w:i/>
          <w:iCs/>
          <w:color w:val="000000"/>
          <w:sz w:val="20"/>
          <w:szCs w:val="20"/>
        </w:rPr>
        <w:t>ū</w:t>
      </w:r>
      <w:r w:rsidRPr="009044F3">
        <w:rPr>
          <w:rFonts w:ascii="Arial" w:hAnsi="Arial" w:cs="Arial"/>
          <w:i/>
          <w:iCs/>
          <w:color w:val="000000"/>
          <w:sz w:val="20"/>
          <w:szCs w:val="20"/>
        </w:rPr>
        <w:t>t</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galima pasiekti (Lietuvos Auk</w:t>
      </w:r>
      <w:r w:rsidRPr="009044F3">
        <w:rPr>
          <w:rFonts w:ascii="Arial" w:hAnsi="Arial" w:cs="Arial" w:hint="eastAsia"/>
          <w:i/>
          <w:iCs/>
          <w:color w:val="000000"/>
          <w:sz w:val="20"/>
          <w:szCs w:val="20"/>
        </w:rPr>
        <w:t>šč</w:t>
      </w:r>
      <w:r w:rsidRPr="009044F3">
        <w:rPr>
          <w:rFonts w:ascii="Arial" w:hAnsi="Arial" w:cs="Arial"/>
          <w:i/>
          <w:iCs/>
          <w:color w:val="000000"/>
          <w:sz w:val="20"/>
          <w:szCs w:val="20"/>
        </w:rPr>
        <w:t>iausiojo Teismo Civilini</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byl</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skyriaus teis</w:t>
      </w:r>
      <w:r w:rsidRPr="009044F3">
        <w:rPr>
          <w:rFonts w:ascii="Arial" w:hAnsi="Arial" w:cs="Arial" w:hint="eastAsia"/>
          <w:i/>
          <w:iCs/>
          <w:color w:val="000000"/>
          <w:sz w:val="20"/>
          <w:szCs w:val="20"/>
        </w:rPr>
        <w:t>ė</w:t>
      </w:r>
      <w:r w:rsidRPr="009044F3">
        <w:rPr>
          <w:rFonts w:ascii="Arial" w:hAnsi="Arial" w:cs="Arial"/>
          <w:i/>
          <w:iCs/>
          <w:color w:val="000000"/>
          <w:sz w:val="20"/>
          <w:szCs w:val="20"/>
        </w:rPr>
        <w:t>j</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kolegijos 2010 m. gegu</w:t>
      </w:r>
      <w:r w:rsidRPr="009044F3">
        <w:rPr>
          <w:rFonts w:ascii="Arial" w:hAnsi="Arial" w:cs="Arial" w:hint="eastAsia"/>
          <w:i/>
          <w:iCs/>
          <w:color w:val="000000"/>
          <w:sz w:val="20"/>
          <w:szCs w:val="20"/>
        </w:rPr>
        <w:t>žė</w:t>
      </w:r>
      <w:r w:rsidRPr="009044F3">
        <w:rPr>
          <w:rFonts w:ascii="Arial" w:hAnsi="Arial" w:cs="Arial"/>
          <w:i/>
          <w:iCs/>
          <w:color w:val="000000"/>
          <w:sz w:val="20"/>
          <w:szCs w:val="20"/>
        </w:rPr>
        <w:t>s 4 d. nutartis, priimta civilin</w:t>
      </w:r>
      <w:r w:rsidRPr="009044F3">
        <w:rPr>
          <w:rFonts w:ascii="Arial" w:hAnsi="Arial" w:cs="Arial" w:hint="eastAsia"/>
          <w:i/>
          <w:iCs/>
          <w:color w:val="000000"/>
          <w:sz w:val="20"/>
          <w:szCs w:val="20"/>
        </w:rPr>
        <w:t>ė</w:t>
      </w:r>
      <w:r w:rsidRPr="009044F3">
        <w:rPr>
          <w:rFonts w:ascii="Arial" w:hAnsi="Arial" w:cs="Arial"/>
          <w:i/>
          <w:iCs/>
          <w:color w:val="000000"/>
          <w:sz w:val="20"/>
          <w:szCs w:val="20"/>
        </w:rPr>
        <w:t xml:space="preserve">je byloje UAB </w:t>
      </w:r>
      <w:r w:rsidRPr="009044F3">
        <w:rPr>
          <w:rFonts w:ascii="Arial" w:hAnsi="Arial" w:cs="Arial" w:hint="eastAsia"/>
          <w:i/>
          <w:iCs/>
          <w:color w:val="000000"/>
          <w:sz w:val="20"/>
          <w:szCs w:val="20"/>
        </w:rPr>
        <w:t>„</w:t>
      </w:r>
      <w:r w:rsidRPr="009044F3">
        <w:rPr>
          <w:rFonts w:ascii="Arial" w:hAnsi="Arial" w:cs="Arial"/>
          <w:i/>
          <w:iCs/>
          <w:color w:val="000000"/>
          <w:sz w:val="20"/>
          <w:szCs w:val="20"/>
        </w:rPr>
        <w:t>15 minu</w:t>
      </w:r>
      <w:r w:rsidRPr="009044F3">
        <w:rPr>
          <w:rFonts w:ascii="Arial" w:hAnsi="Arial" w:cs="Arial" w:hint="eastAsia"/>
          <w:i/>
          <w:iCs/>
          <w:color w:val="000000"/>
          <w:sz w:val="20"/>
          <w:szCs w:val="20"/>
        </w:rPr>
        <w:t>č</w:t>
      </w:r>
      <w:r w:rsidRPr="009044F3">
        <w:rPr>
          <w:rFonts w:ascii="Arial" w:hAnsi="Arial" w:cs="Arial"/>
          <w:i/>
          <w:iCs/>
          <w:color w:val="000000"/>
          <w:sz w:val="20"/>
          <w:szCs w:val="20"/>
        </w:rPr>
        <w:t>i</w:t>
      </w:r>
      <w:r w:rsidRPr="009044F3">
        <w:rPr>
          <w:rFonts w:ascii="Arial" w:hAnsi="Arial" w:cs="Arial" w:hint="eastAsia"/>
          <w:i/>
          <w:iCs/>
          <w:color w:val="000000"/>
          <w:sz w:val="20"/>
          <w:szCs w:val="20"/>
        </w:rPr>
        <w:t>ų</w:t>
      </w:r>
      <w:r w:rsidRPr="009044F3">
        <w:rPr>
          <w:rFonts w:ascii="Arial" w:hAnsi="Arial" w:cs="Arial" w:hint="eastAsia"/>
          <w:i/>
          <w:iCs/>
          <w:color w:val="000000"/>
          <w:sz w:val="20"/>
          <w:szCs w:val="20"/>
        </w:rPr>
        <w:t>“</w:t>
      </w:r>
      <w:r w:rsidRPr="009044F3">
        <w:rPr>
          <w:rFonts w:ascii="Arial" w:hAnsi="Arial" w:cs="Arial"/>
          <w:i/>
          <w:iCs/>
          <w:color w:val="000000"/>
          <w:sz w:val="20"/>
          <w:szCs w:val="20"/>
        </w:rPr>
        <w:t xml:space="preserve"> v. Valstybin</w:t>
      </w:r>
      <w:r w:rsidRPr="009044F3">
        <w:rPr>
          <w:rFonts w:ascii="Arial" w:hAnsi="Arial" w:cs="Arial" w:hint="eastAsia"/>
          <w:i/>
          <w:iCs/>
          <w:color w:val="000000"/>
          <w:sz w:val="20"/>
          <w:szCs w:val="20"/>
        </w:rPr>
        <w:t>ė</w:t>
      </w:r>
      <w:r w:rsidRPr="009044F3">
        <w:rPr>
          <w:rFonts w:ascii="Arial" w:hAnsi="Arial" w:cs="Arial"/>
          <w:i/>
          <w:iCs/>
          <w:color w:val="000000"/>
          <w:sz w:val="20"/>
          <w:szCs w:val="20"/>
        </w:rPr>
        <w:t xml:space="preserve"> ligoni</w:t>
      </w:r>
      <w:r w:rsidRPr="009044F3">
        <w:rPr>
          <w:rFonts w:ascii="Arial" w:hAnsi="Arial" w:cs="Arial" w:hint="eastAsia"/>
          <w:i/>
          <w:iCs/>
          <w:color w:val="000000"/>
          <w:sz w:val="20"/>
          <w:szCs w:val="20"/>
        </w:rPr>
        <w:t>ų</w:t>
      </w:r>
      <w:r w:rsidRPr="009044F3">
        <w:rPr>
          <w:rFonts w:ascii="Arial" w:hAnsi="Arial" w:cs="Arial"/>
          <w:i/>
          <w:iCs/>
          <w:color w:val="000000"/>
          <w:sz w:val="20"/>
          <w:szCs w:val="20"/>
        </w:rPr>
        <w:t xml:space="preserve"> kasa prie Sveikatos apsaugos ministerijos, bylos Nr. 3K-3-126/2010).</w:t>
      </w:r>
    </w:p>
    <w:p w14:paraId="75CA0789" w14:textId="77777777" w:rsidR="009B5B73" w:rsidRDefault="009B5B73" w:rsidP="009B5B73">
      <w:pPr>
        <w:tabs>
          <w:tab w:val="left" w:pos="142"/>
          <w:tab w:val="left" w:pos="567"/>
        </w:tabs>
        <w:spacing w:after="0"/>
        <w:jc w:val="both"/>
        <w:rPr>
          <w:rFonts w:ascii="Arial" w:hAnsi="Arial" w:cs="Arial"/>
          <w:color w:val="000000"/>
          <w:sz w:val="20"/>
          <w:szCs w:val="20"/>
        </w:rPr>
      </w:pPr>
    </w:p>
    <w:p w14:paraId="6290107F" w14:textId="4855345F" w:rsidR="009B5B73" w:rsidRPr="009044F3" w:rsidRDefault="009B5B73" w:rsidP="009B5B73">
      <w:pPr>
        <w:tabs>
          <w:tab w:val="left" w:pos="142"/>
          <w:tab w:val="left" w:pos="567"/>
        </w:tabs>
        <w:spacing w:after="0"/>
        <w:jc w:val="both"/>
        <w:rPr>
          <w:rFonts w:ascii="Arial" w:hAnsi="Arial" w:cs="Arial"/>
          <w:color w:val="000000"/>
          <w:sz w:val="20"/>
          <w:szCs w:val="20"/>
        </w:rPr>
      </w:pPr>
      <w:r w:rsidRPr="009044F3">
        <w:rPr>
          <w:rFonts w:ascii="Arial" w:hAnsi="Arial" w:cs="Arial"/>
          <w:color w:val="000000"/>
          <w:sz w:val="20"/>
          <w:szCs w:val="20"/>
        </w:rPr>
        <w:t>Pirkimo objekto diegimo, palaikymo ir vystymo paslauga turi būti suprantama kaip viena aptarnavimo paslauga. Tai pagrindžia žemiau pateikti argumentai</w:t>
      </w:r>
      <w:r w:rsidR="003D094A">
        <w:rPr>
          <w:rFonts w:ascii="Arial" w:hAnsi="Arial" w:cs="Arial"/>
          <w:color w:val="000000"/>
          <w:sz w:val="20"/>
          <w:szCs w:val="20"/>
        </w:rPr>
        <w:t>:</w:t>
      </w:r>
    </w:p>
    <w:p w14:paraId="54C00F63" w14:textId="77777777" w:rsidR="00744593" w:rsidRDefault="00744593" w:rsidP="009B5B73">
      <w:pPr>
        <w:tabs>
          <w:tab w:val="left" w:pos="142"/>
          <w:tab w:val="left" w:pos="567"/>
        </w:tabs>
        <w:spacing w:after="0"/>
        <w:jc w:val="both"/>
        <w:rPr>
          <w:rFonts w:ascii="Arial" w:hAnsi="Arial" w:cs="Arial"/>
          <w:color w:val="000000"/>
          <w:sz w:val="20"/>
          <w:szCs w:val="20"/>
        </w:rPr>
      </w:pPr>
    </w:p>
    <w:p w14:paraId="75BA8A03" w14:textId="6F404D67" w:rsidR="003D094A" w:rsidRPr="003D094A" w:rsidRDefault="003D094A" w:rsidP="003D094A">
      <w:pPr>
        <w:tabs>
          <w:tab w:val="left" w:pos="142"/>
          <w:tab w:val="left" w:pos="567"/>
        </w:tabs>
        <w:spacing w:after="0"/>
        <w:jc w:val="both"/>
        <w:rPr>
          <w:rFonts w:ascii="Arial" w:hAnsi="Arial" w:cs="Arial"/>
          <w:color w:val="000000"/>
          <w:sz w:val="20"/>
          <w:szCs w:val="20"/>
        </w:rPr>
      </w:pPr>
      <w:r w:rsidRPr="003D094A">
        <w:rPr>
          <w:rFonts w:ascii="Arial" w:hAnsi="Arial" w:cs="Arial"/>
          <w:color w:val="000000"/>
          <w:sz w:val="20"/>
          <w:szCs w:val="20"/>
        </w:rPr>
        <w:t>- perkama vientisa paslauga, skirta mobilios aplikacijos palaikymui, ir atliekant mobilios aplikacijos palaikymo darbus bei nustačius papildomus poreikius, ją vystant, vystymui naudojant atliekamos techninės priežiūros paskutinę aktualią kodo versiją, todėl techniškai yra neįmanoma arba iš esmės negalima be žymių rizikų išskaidyti vieno Pirkimo objekto, atskiriant vystymą nuo priežiūros.</w:t>
      </w:r>
    </w:p>
    <w:p w14:paraId="104D8928" w14:textId="77777777" w:rsidR="003D094A" w:rsidRPr="003D094A" w:rsidRDefault="003D094A" w:rsidP="003D094A">
      <w:pPr>
        <w:tabs>
          <w:tab w:val="left" w:pos="142"/>
          <w:tab w:val="left" w:pos="567"/>
        </w:tabs>
        <w:spacing w:after="0"/>
        <w:jc w:val="both"/>
        <w:rPr>
          <w:rFonts w:ascii="Arial" w:hAnsi="Arial" w:cs="Arial"/>
          <w:color w:val="000000"/>
          <w:sz w:val="20"/>
          <w:szCs w:val="20"/>
        </w:rPr>
      </w:pPr>
    </w:p>
    <w:p w14:paraId="099384F3" w14:textId="52A184D5" w:rsidR="003D094A" w:rsidRPr="003D094A" w:rsidRDefault="003D094A" w:rsidP="003D094A">
      <w:pPr>
        <w:tabs>
          <w:tab w:val="left" w:pos="142"/>
          <w:tab w:val="left" w:pos="567"/>
        </w:tabs>
        <w:spacing w:after="0"/>
        <w:jc w:val="both"/>
        <w:rPr>
          <w:rFonts w:ascii="Arial" w:hAnsi="Arial" w:cs="Arial"/>
          <w:color w:val="000000"/>
          <w:sz w:val="20"/>
          <w:szCs w:val="20"/>
        </w:rPr>
      </w:pPr>
      <w:r w:rsidRPr="003D094A">
        <w:rPr>
          <w:rFonts w:ascii="Arial" w:hAnsi="Arial" w:cs="Arial"/>
          <w:color w:val="000000"/>
          <w:sz w:val="20"/>
          <w:szCs w:val="20"/>
        </w:rPr>
        <w:t>-</w:t>
      </w:r>
      <w:r w:rsidRPr="003D094A">
        <w:rPr>
          <w:rFonts w:ascii="Arial" w:hAnsi="Arial" w:cs="Arial"/>
          <w:color w:val="000000"/>
          <w:sz w:val="20"/>
          <w:szCs w:val="20"/>
        </w:rPr>
        <w:tab/>
        <w:t xml:space="preserve">perkamai paslaugai taikomi kokybės ir saugumo reikalavimai turi užtikrinti vienos bei vientisos mobilios aplikacijos nuolatinį veikimą bei konfigūravimą ir integracijas su kitomis sistemomis; </w:t>
      </w:r>
    </w:p>
    <w:p w14:paraId="7B600157" w14:textId="77777777" w:rsidR="003D094A" w:rsidRPr="003D094A" w:rsidRDefault="003D094A" w:rsidP="003D094A">
      <w:pPr>
        <w:tabs>
          <w:tab w:val="left" w:pos="142"/>
          <w:tab w:val="left" w:pos="567"/>
        </w:tabs>
        <w:spacing w:after="0"/>
        <w:jc w:val="both"/>
        <w:rPr>
          <w:rFonts w:ascii="Arial" w:hAnsi="Arial" w:cs="Arial"/>
          <w:color w:val="000000"/>
          <w:sz w:val="20"/>
          <w:szCs w:val="20"/>
        </w:rPr>
      </w:pPr>
    </w:p>
    <w:p w14:paraId="2D20671C" w14:textId="49FE8619" w:rsidR="003D094A" w:rsidRPr="003D094A" w:rsidRDefault="003D094A" w:rsidP="003D094A">
      <w:pPr>
        <w:tabs>
          <w:tab w:val="left" w:pos="142"/>
          <w:tab w:val="left" w:pos="567"/>
        </w:tabs>
        <w:spacing w:after="0"/>
        <w:jc w:val="both"/>
        <w:rPr>
          <w:rFonts w:ascii="Arial" w:hAnsi="Arial" w:cs="Arial"/>
          <w:color w:val="000000"/>
          <w:sz w:val="20"/>
          <w:szCs w:val="20"/>
        </w:rPr>
      </w:pPr>
      <w:r w:rsidRPr="003D094A">
        <w:rPr>
          <w:rFonts w:ascii="Arial" w:hAnsi="Arial" w:cs="Arial"/>
          <w:color w:val="000000"/>
          <w:sz w:val="20"/>
          <w:szCs w:val="20"/>
        </w:rPr>
        <w:t xml:space="preserve">- mobilios aplikacijos priežiūra bus atliekama nepertraukiamai, kartu užtikrinant ir jos nenutrūkstamą veikimą. Taigi planuojant ar vos atlikus naujas vystymo užduotis reikia atitinkamai planuoti ir nedelsiant atlikti priežiūros </w:t>
      </w:r>
      <w:r w:rsidRPr="003D094A">
        <w:rPr>
          <w:rFonts w:ascii="Arial" w:hAnsi="Arial" w:cs="Arial"/>
          <w:color w:val="000000"/>
          <w:sz w:val="20"/>
          <w:szCs w:val="20"/>
        </w:rPr>
        <w:lastRenderedPageBreak/>
        <w:t>darbus. Mobili aplikacija yra nuolat kintanti kodų seka, todėl akivaizdu, kad tik atliekant priežiūrą yra nustatomi reikalingi nauji vystymo darbai, kurie privalo būti atliekami ant paskutinės aktualios mobilios aplikacijos varianto. Pažymėtina, kad vystymo ir priežiūros paslaugas teikiant dviem Paslaugų teikėjams, būtų reikalingos dvi atskiros mobilios aplikacijos kūrimo ir testavimo aplinkos: vystymo darbams ir priežiūros darbams, kadangi vienu metu turėtų būti užtikrinta galimybė dirbti atskirų paslaugų teikėjų komandoms. Dėl šios priežasties taip pat būtų būtina atskira paslauga ar Perkančiosios organizacijos pajėgumai (papildomos darbo valandos), norint konfigūruoti bei ištestuoti abu rezultatus. Taigi, atitinkamai nepagrįstai išaugtų sutarties įgyvendinimui reikalingų resursų sąnaudos arba Perkančioji organizacija būtų priversta neracionaliai naudoti pirkimui skirtas lėšas (VPĮ 17 straipsnio 1 dalies prasme). Taip pat pabrėžtina, kad atsakomybės taikymas už galimas mobilios aplikacijos klaidas ar netinkamai suteiktas paslaugas bei netinkamų darbų ištaisymo pareigos priskyrimas konkrečiam Paslaugų teikėjui taptų itin apsunkintas (kiekvienos konkrečios klaidos ar paslaugų trūkumų atveju Perkančioji organizacija turėtų atlikti atskirą vertinimą ir tik surinkusi įrodymus identifikuoti vieno iš dviejų Paslaugų teikėjų kaltę bei atitinkamai reikalauti ištaisymo), o dauguma atvejų - ir neįmanomas. Tai reikštų ne tik neprognozuojamą tinkamo paslaugų rezultato pasiekimą laikantis būtinų terminų, tačiau ir paslaugų kokybės garantija neapsaugotą sutartį. Taipogi, kaip jau minėta, du Paslaugų teikėjai turėtų atlikti darbus atskirose aplinkose, tačiau galutinis rezultatas turėtų būti įgyvendintas gamybinėje (Perkančiosios organizacijos darbinėje) aplinkoje. Tai reikštų, jog nebūtų aišku kuris subjektas yra galutinis mobilios aplikacijos tvarkytojas, taigi Pirkimo sąlygose neįmanoma nurodyti, kas galutinai turėtų suderinti dviejų Paslaugų teikėjų atliekamus diegimus ir konfigūracijas.</w:t>
      </w:r>
    </w:p>
    <w:p w14:paraId="0C43A88D" w14:textId="77777777" w:rsidR="009B5B73" w:rsidRPr="00923BED" w:rsidRDefault="009B5B73" w:rsidP="009B5B73">
      <w:pPr>
        <w:tabs>
          <w:tab w:val="left" w:pos="142"/>
          <w:tab w:val="left" w:pos="567"/>
        </w:tabs>
        <w:spacing w:after="0"/>
        <w:jc w:val="both"/>
        <w:rPr>
          <w:rFonts w:ascii="Arial" w:hAnsi="Arial" w:cs="Arial"/>
          <w:color w:val="000000"/>
          <w:sz w:val="18"/>
          <w:szCs w:val="18"/>
        </w:rPr>
      </w:pPr>
    </w:p>
    <w:p w14:paraId="1AA5EF6F" w14:textId="77777777" w:rsidR="009B5B73" w:rsidRPr="00923BED" w:rsidRDefault="009B5B73" w:rsidP="009B5B73">
      <w:pPr>
        <w:tabs>
          <w:tab w:val="left" w:pos="142"/>
          <w:tab w:val="left" w:pos="567"/>
        </w:tabs>
        <w:spacing w:after="0"/>
        <w:jc w:val="both"/>
        <w:rPr>
          <w:rFonts w:ascii="Arial" w:hAnsi="Arial" w:cs="Arial"/>
          <w:bCs/>
          <w:sz w:val="20"/>
          <w:szCs w:val="20"/>
        </w:rPr>
      </w:pPr>
      <w:r w:rsidRPr="00923BED">
        <w:rPr>
          <w:rFonts w:ascii="Arial" w:hAnsi="Arial" w:cs="Arial"/>
          <w:bCs/>
          <w:sz w:val="20"/>
          <w:szCs w:val="20"/>
        </w:rPr>
        <w:t>Dėl aukščiau nurodytų motyvų pirkimas negali būti skaidomas nei kokybiniu, nei kiekybiniu pagrindu</w:t>
      </w:r>
      <w:r>
        <w:rPr>
          <w:rFonts w:ascii="Arial" w:hAnsi="Arial" w:cs="Arial"/>
          <w:bCs/>
          <w:sz w:val="20"/>
          <w:szCs w:val="20"/>
        </w:rPr>
        <w:t>,</w:t>
      </w:r>
      <w:r w:rsidRPr="00923BED">
        <w:rPr>
          <w:rFonts w:ascii="Arial" w:hAnsi="Arial" w:cs="Arial"/>
          <w:bCs/>
          <w:sz w:val="20"/>
          <w:szCs w:val="20"/>
        </w:rPr>
        <w:t xml:space="preserve"> nei pagal įgyvendinimo etapus. </w:t>
      </w:r>
    </w:p>
    <w:p w14:paraId="6ADF305E" w14:textId="77777777" w:rsidR="009B5B73" w:rsidRPr="00923BED" w:rsidRDefault="009B5B73" w:rsidP="009B5B73">
      <w:pPr>
        <w:ind w:firstLine="567"/>
        <w:contextualSpacing/>
        <w:jc w:val="both"/>
        <w:rPr>
          <w:rFonts w:ascii="Arial" w:hAnsi="Arial" w:cs="Arial"/>
          <w:sz w:val="18"/>
          <w:szCs w:val="18"/>
        </w:rPr>
      </w:pPr>
    </w:p>
    <w:p w14:paraId="47F23D2F" w14:textId="77777777" w:rsidR="00E969C0" w:rsidRPr="009B5B73" w:rsidRDefault="00E969C0" w:rsidP="009B5B73"/>
    <w:sectPr w:rsidR="00E969C0" w:rsidRPr="009B5B73">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69A0A" w14:textId="77777777" w:rsidR="000E620C" w:rsidRDefault="000E620C" w:rsidP="00E92303">
      <w:pPr>
        <w:spacing w:after="0" w:line="240" w:lineRule="auto"/>
      </w:pPr>
      <w:r>
        <w:separator/>
      </w:r>
    </w:p>
  </w:endnote>
  <w:endnote w:type="continuationSeparator" w:id="0">
    <w:p w14:paraId="0173889E" w14:textId="77777777" w:rsidR="000E620C" w:rsidRDefault="000E620C" w:rsidP="00E92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FEA3" w14:textId="77777777" w:rsidR="005F0084" w:rsidRDefault="005F0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09F9" w14:textId="77777777" w:rsidR="005F0084" w:rsidRDefault="005F0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3FD4" w14:textId="77777777" w:rsidR="005F0084" w:rsidRDefault="005F0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E8FE" w14:textId="77777777" w:rsidR="000E620C" w:rsidRDefault="000E620C" w:rsidP="00E92303">
      <w:pPr>
        <w:spacing w:after="0" w:line="240" w:lineRule="auto"/>
      </w:pPr>
      <w:r>
        <w:separator/>
      </w:r>
    </w:p>
  </w:footnote>
  <w:footnote w:type="continuationSeparator" w:id="0">
    <w:p w14:paraId="7D9C2886" w14:textId="77777777" w:rsidR="000E620C" w:rsidRDefault="000E620C" w:rsidP="00E92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0D8B" w14:textId="77777777" w:rsidR="005F0084" w:rsidRDefault="005F0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179" w14:textId="48C01D6F" w:rsidR="009E238E" w:rsidRDefault="009E2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DF30" w14:textId="77777777" w:rsidR="005F0084" w:rsidRDefault="005F0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16A"/>
    <w:rsid w:val="00011151"/>
    <w:rsid w:val="000306A1"/>
    <w:rsid w:val="00064AF2"/>
    <w:rsid w:val="0008266F"/>
    <w:rsid w:val="000956EB"/>
    <w:rsid w:val="000960F2"/>
    <w:rsid w:val="000A627E"/>
    <w:rsid w:val="000B239B"/>
    <w:rsid w:val="000B5079"/>
    <w:rsid w:val="000C2B57"/>
    <w:rsid w:val="000E4E06"/>
    <w:rsid w:val="000E620C"/>
    <w:rsid w:val="00105524"/>
    <w:rsid w:val="00106149"/>
    <w:rsid w:val="001141C9"/>
    <w:rsid w:val="0013322D"/>
    <w:rsid w:val="00141D15"/>
    <w:rsid w:val="00147BDD"/>
    <w:rsid w:val="00152F7F"/>
    <w:rsid w:val="00161257"/>
    <w:rsid w:val="001927C1"/>
    <w:rsid w:val="00194DC7"/>
    <w:rsid w:val="001A4D67"/>
    <w:rsid w:val="001B6F98"/>
    <w:rsid w:val="001B73C3"/>
    <w:rsid w:val="001D555E"/>
    <w:rsid w:val="001E1CC8"/>
    <w:rsid w:val="00200F06"/>
    <w:rsid w:val="0024601A"/>
    <w:rsid w:val="002520E5"/>
    <w:rsid w:val="0026314D"/>
    <w:rsid w:val="0029097D"/>
    <w:rsid w:val="00297281"/>
    <w:rsid w:val="002C693B"/>
    <w:rsid w:val="002C7F18"/>
    <w:rsid w:val="002D4FCE"/>
    <w:rsid w:val="002D5A60"/>
    <w:rsid w:val="002F71E8"/>
    <w:rsid w:val="0030157F"/>
    <w:rsid w:val="00341D6C"/>
    <w:rsid w:val="00343C44"/>
    <w:rsid w:val="00345475"/>
    <w:rsid w:val="0039503E"/>
    <w:rsid w:val="003D094A"/>
    <w:rsid w:val="003D2022"/>
    <w:rsid w:val="003E1E6F"/>
    <w:rsid w:val="003F2FFF"/>
    <w:rsid w:val="00407BFC"/>
    <w:rsid w:val="0042049E"/>
    <w:rsid w:val="00444218"/>
    <w:rsid w:val="00460D39"/>
    <w:rsid w:val="00476E7F"/>
    <w:rsid w:val="00484726"/>
    <w:rsid w:val="00494D15"/>
    <w:rsid w:val="004C0635"/>
    <w:rsid w:val="004F5056"/>
    <w:rsid w:val="0055005F"/>
    <w:rsid w:val="00554423"/>
    <w:rsid w:val="00562DE9"/>
    <w:rsid w:val="005757C9"/>
    <w:rsid w:val="00581E18"/>
    <w:rsid w:val="005838E2"/>
    <w:rsid w:val="0059088B"/>
    <w:rsid w:val="00593907"/>
    <w:rsid w:val="005A7D96"/>
    <w:rsid w:val="005F0084"/>
    <w:rsid w:val="00613C57"/>
    <w:rsid w:val="00621E0E"/>
    <w:rsid w:val="00640EF0"/>
    <w:rsid w:val="00662171"/>
    <w:rsid w:val="006868C8"/>
    <w:rsid w:val="00686979"/>
    <w:rsid w:val="006A5373"/>
    <w:rsid w:val="006A77E9"/>
    <w:rsid w:val="006B6CF2"/>
    <w:rsid w:val="006D766F"/>
    <w:rsid w:val="006F65A0"/>
    <w:rsid w:val="00700453"/>
    <w:rsid w:val="00744593"/>
    <w:rsid w:val="00764250"/>
    <w:rsid w:val="00784997"/>
    <w:rsid w:val="00793833"/>
    <w:rsid w:val="007D154C"/>
    <w:rsid w:val="007D3D59"/>
    <w:rsid w:val="00806278"/>
    <w:rsid w:val="008443CD"/>
    <w:rsid w:val="00847C61"/>
    <w:rsid w:val="008712C1"/>
    <w:rsid w:val="008830A3"/>
    <w:rsid w:val="008845F6"/>
    <w:rsid w:val="00893C90"/>
    <w:rsid w:val="00895DA3"/>
    <w:rsid w:val="008A09AE"/>
    <w:rsid w:val="008A6D92"/>
    <w:rsid w:val="008D252A"/>
    <w:rsid w:val="008D75D6"/>
    <w:rsid w:val="00906BA0"/>
    <w:rsid w:val="009325C5"/>
    <w:rsid w:val="00946E24"/>
    <w:rsid w:val="00971480"/>
    <w:rsid w:val="0098635B"/>
    <w:rsid w:val="009B0271"/>
    <w:rsid w:val="009B5B73"/>
    <w:rsid w:val="009D3DC6"/>
    <w:rsid w:val="009D50C2"/>
    <w:rsid w:val="009E238E"/>
    <w:rsid w:val="009E4F87"/>
    <w:rsid w:val="009F01AA"/>
    <w:rsid w:val="00A26076"/>
    <w:rsid w:val="00A43A41"/>
    <w:rsid w:val="00A93A7E"/>
    <w:rsid w:val="00AE765C"/>
    <w:rsid w:val="00AF1D8E"/>
    <w:rsid w:val="00B02DCB"/>
    <w:rsid w:val="00B06372"/>
    <w:rsid w:val="00B43339"/>
    <w:rsid w:val="00B5706E"/>
    <w:rsid w:val="00B91C97"/>
    <w:rsid w:val="00B9525B"/>
    <w:rsid w:val="00B972D7"/>
    <w:rsid w:val="00BA481D"/>
    <w:rsid w:val="00BA7AAD"/>
    <w:rsid w:val="00BB114D"/>
    <w:rsid w:val="00BE0E27"/>
    <w:rsid w:val="00BF58C1"/>
    <w:rsid w:val="00C1334B"/>
    <w:rsid w:val="00C16C04"/>
    <w:rsid w:val="00C4228E"/>
    <w:rsid w:val="00C57F5D"/>
    <w:rsid w:val="00C71434"/>
    <w:rsid w:val="00C959B5"/>
    <w:rsid w:val="00CA3D5C"/>
    <w:rsid w:val="00D14EFA"/>
    <w:rsid w:val="00D15E54"/>
    <w:rsid w:val="00D34719"/>
    <w:rsid w:val="00D53488"/>
    <w:rsid w:val="00D861B8"/>
    <w:rsid w:val="00D9294E"/>
    <w:rsid w:val="00DC6DBA"/>
    <w:rsid w:val="00DC743D"/>
    <w:rsid w:val="00DE5FCF"/>
    <w:rsid w:val="00E42EEB"/>
    <w:rsid w:val="00E4367E"/>
    <w:rsid w:val="00E46151"/>
    <w:rsid w:val="00E565F2"/>
    <w:rsid w:val="00E61A1F"/>
    <w:rsid w:val="00E8534F"/>
    <w:rsid w:val="00E912A4"/>
    <w:rsid w:val="00E92303"/>
    <w:rsid w:val="00E969C0"/>
    <w:rsid w:val="00EC758A"/>
    <w:rsid w:val="00ED3F09"/>
    <w:rsid w:val="00ED516A"/>
    <w:rsid w:val="00EE05CF"/>
    <w:rsid w:val="00F000BB"/>
    <w:rsid w:val="00F128D8"/>
    <w:rsid w:val="00F3038A"/>
    <w:rsid w:val="00F31A87"/>
    <w:rsid w:val="00F40D33"/>
    <w:rsid w:val="00F4496E"/>
    <w:rsid w:val="00F469DF"/>
    <w:rsid w:val="00F56B68"/>
    <w:rsid w:val="00F63309"/>
    <w:rsid w:val="00FA5DA4"/>
    <w:rsid w:val="00FA6717"/>
    <w:rsid w:val="00FC3C5A"/>
    <w:rsid w:val="00FC76D7"/>
    <w:rsid w:val="06FC0C80"/>
    <w:rsid w:val="0C0607EC"/>
    <w:rsid w:val="0FAC8F9A"/>
    <w:rsid w:val="19EB7422"/>
    <w:rsid w:val="1B00359A"/>
    <w:rsid w:val="2042B298"/>
    <w:rsid w:val="21A82CE3"/>
    <w:rsid w:val="226E39A3"/>
    <w:rsid w:val="33E9848D"/>
    <w:rsid w:val="47C106AE"/>
    <w:rsid w:val="480D2C28"/>
    <w:rsid w:val="5950C58E"/>
    <w:rsid w:val="5CA4E95A"/>
    <w:rsid w:val="78434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B816E"/>
  <w15:chartTrackingRefBased/>
  <w15:docId w15:val="{E43BB4BD-595F-4CCB-B2AE-FF165962E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3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E92303"/>
  </w:style>
  <w:style w:type="paragraph" w:styleId="Footer">
    <w:name w:val="footer"/>
    <w:basedOn w:val="Normal"/>
    <w:link w:val="FooterChar"/>
    <w:uiPriority w:val="99"/>
    <w:unhideWhenUsed/>
    <w:rsid w:val="00E92303"/>
    <w:pPr>
      <w:tabs>
        <w:tab w:val="center" w:pos="4819"/>
        <w:tab w:val="right" w:pos="9638"/>
      </w:tabs>
      <w:spacing w:after="0" w:line="240" w:lineRule="auto"/>
    </w:pPr>
  </w:style>
  <w:style w:type="character" w:customStyle="1" w:styleId="FooterChar">
    <w:name w:val="Footer Char"/>
    <w:basedOn w:val="DefaultParagraphFont"/>
    <w:link w:val="Footer"/>
    <w:uiPriority w:val="99"/>
    <w:rsid w:val="00E92303"/>
  </w:style>
  <w:style w:type="character" w:styleId="CommentReference">
    <w:name w:val="annotation reference"/>
    <w:basedOn w:val="DefaultParagraphFont"/>
    <w:uiPriority w:val="99"/>
    <w:semiHidden/>
    <w:unhideWhenUsed/>
    <w:rsid w:val="00345475"/>
    <w:rPr>
      <w:sz w:val="16"/>
      <w:szCs w:val="16"/>
    </w:rPr>
  </w:style>
  <w:style w:type="paragraph" w:styleId="CommentText">
    <w:name w:val="annotation text"/>
    <w:basedOn w:val="Normal"/>
    <w:link w:val="CommentTextChar"/>
    <w:uiPriority w:val="99"/>
    <w:semiHidden/>
    <w:unhideWhenUsed/>
    <w:rsid w:val="00345475"/>
    <w:pPr>
      <w:spacing w:line="240" w:lineRule="auto"/>
    </w:pPr>
    <w:rPr>
      <w:sz w:val="20"/>
      <w:szCs w:val="20"/>
    </w:rPr>
  </w:style>
  <w:style w:type="character" w:customStyle="1" w:styleId="CommentTextChar">
    <w:name w:val="Comment Text Char"/>
    <w:basedOn w:val="DefaultParagraphFont"/>
    <w:link w:val="CommentText"/>
    <w:uiPriority w:val="99"/>
    <w:semiHidden/>
    <w:rsid w:val="00345475"/>
    <w:rPr>
      <w:sz w:val="20"/>
      <w:szCs w:val="20"/>
    </w:rPr>
  </w:style>
  <w:style w:type="paragraph" w:styleId="CommentSubject">
    <w:name w:val="annotation subject"/>
    <w:basedOn w:val="CommentText"/>
    <w:next w:val="CommentText"/>
    <w:link w:val="CommentSubjectChar"/>
    <w:uiPriority w:val="99"/>
    <w:semiHidden/>
    <w:unhideWhenUsed/>
    <w:rsid w:val="00345475"/>
    <w:rPr>
      <w:b/>
      <w:bCs/>
    </w:rPr>
  </w:style>
  <w:style w:type="character" w:customStyle="1" w:styleId="CommentSubjectChar">
    <w:name w:val="Comment Subject Char"/>
    <w:basedOn w:val="CommentTextChar"/>
    <w:link w:val="CommentSubject"/>
    <w:uiPriority w:val="99"/>
    <w:semiHidden/>
    <w:rsid w:val="00345475"/>
    <w:rPr>
      <w:b/>
      <w:bCs/>
      <w:sz w:val="20"/>
      <w:szCs w:val="20"/>
    </w:rPr>
  </w:style>
  <w:style w:type="paragraph" w:styleId="BalloonText">
    <w:name w:val="Balloon Text"/>
    <w:basedOn w:val="Normal"/>
    <w:link w:val="BalloonTextChar"/>
    <w:uiPriority w:val="99"/>
    <w:semiHidden/>
    <w:unhideWhenUsed/>
    <w:rsid w:val="003454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75"/>
    <w:rPr>
      <w:rFonts w:ascii="Segoe UI" w:hAnsi="Segoe UI" w:cs="Segoe UI"/>
      <w:sz w:val="18"/>
      <w:szCs w:val="18"/>
    </w:rPr>
  </w:style>
  <w:style w:type="paragraph" w:styleId="FootnoteText">
    <w:name w:val="footnote text"/>
    <w:basedOn w:val="Normal"/>
    <w:link w:val="FootnoteTextChar"/>
    <w:uiPriority w:val="99"/>
    <w:unhideWhenUsed/>
    <w:rsid w:val="008A6D9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8A6D92"/>
    <w:rPr>
      <w:rFonts w:ascii="Calibri" w:eastAsia="Calibri" w:hAnsi="Calibri" w:cs="Times New Roman"/>
      <w:sz w:val="20"/>
      <w:szCs w:val="20"/>
    </w:rPr>
  </w:style>
  <w:style w:type="character" w:styleId="FootnoteReference">
    <w:name w:val="footnote reference"/>
    <w:basedOn w:val="DefaultParagraphFont"/>
    <w:uiPriority w:val="99"/>
    <w:unhideWhenUsed/>
    <w:rsid w:val="008A6D92"/>
    <w:rPr>
      <w:vertAlign w:val="superscript"/>
    </w:rPr>
  </w:style>
  <w:style w:type="character" w:customStyle="1" w:styleId="Laukeliai">
    <w:name w:val="Laukeliai"/>
    <w:basedOn w:val="DefaultParagraphFont"/>
    <w:uiPriority w:val="1"/>
    <w:rsid w:val="00152F7F"/>
    <w:rPr>
      <w:rFonts w:ascii="Arial" w:hAnsi="Arial" w:cs="Arial"/>
      <w:sz w:val="20"/>
      <w:szCs w:val="20"/>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E969C0"/>
    <w:pPr>
      <w:spacing w:after="0" w:line="240" w:lineRule="auto"/>
      <w:ind w:left="720" w:firstLine="720"/>
      <w:contextualSpacing/>
    </w:pPr>
    <w:rPr>
      <w:rFonts w:ascii="Arial" w:eastAsia="Times New Roman" w:hAnsi="Arial" w:cs="Arial"/>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969C0"/>
    <w:rPr>
      <w:rFonts w:ascii="Arial" w:eastAsia="Times New Roman" w:hAnsi="Arial" w:cs="Arial"/>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F7CC61-AB98-40D1-8F3D-659C2D68C5C4}">
  <ds:schemaRefs>
    <ds:schemaRef ds:uri="http://schemas.microsoft.com/sharepoint/v3/contenttype/forms"/>
  </ds:schemaRefs>
</ds:datastoreItem>
</file>

<file path=customXml/itemProps2.xml><?xml version="1.0" encoding="utf-8"?>
<ds:datastoreItem xmlns:ds="http://schemas.openxmlformats.org/officeDocument/2006/customXml" ds:itemID="{A4D97A52-A499-4A2A-A988-345F5950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E542C-42F4-4CE3-BB5C-62B387260B32}">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4033</Words>
  <Characters>2299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Domantas Bajorinas</cp:lastModifiedBy>
  <cp:revision>18</cp:revision>
  <dcterms:created xsi:type="dcterms:W3CDTF">2022-06-13T11:57:00Z</dcterms:created>
  <dcterms:modified xsi:type="dcterms:W3CDTF">2026-02-11T05:43:00Z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Greta.Jatulionyte@ignitis.lt</vt:lpwstr>
  </property>
  <property fmtid="{D5CDD505-2E9C-101B-9397-08002B2CF9AE}" pid="5" name="MSIP_Label_320c693d-44b7-4e16-b3dd-4fcd87401cf5_SetDate">
    <vt:lpwstr>2019-09-17T08:03:12.7870336Z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003aa291-13bb-4e77-bff1-66a020ffa63b</vt:lpwstr>
  </property>
  <property fmtid="{D5CDD505-2E9C-101B-9397-08002B2CF9AE}" pid="9" name="MSIP_Label_320c693d-44b7-4e16-b3dd-4fcd87401cf5_Extended_MSFT_Method">
    <vt:lpwstr>Manual</vt:lpwstr>
  </property>
  <property fmtid="{D5CDD505-2E9C-101B-9397-08002B2CF9AE}" pid="10" name="ContentTypeId">
    <vt:lpwstr>0x0101007161ED757C97314BB77B80CA2650300A</vt:lpwstr>
  </property>
  <property fmtid="{D5CDD505-2E9C-101B-9397-08002B2CF9AE}" pid="11" name="MSIP_Label_190751af-2442-49a7-b7b9-9f0bcce858c9_Enabled">
    <vt:lpwstr>true</vt:lpwstr>
  </property>
  <property fmtid="{D5CDD505-2E9C-101B-9397-08002B2CF9AE}" pid="12" name="MSIP_Label_190751af-2442-49a7-b7b9-9f0bcce858c9_SetDate">
    <vt:lpwstr>2022-06-13T10:02:22Z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003aa291-13bb-4e77-bff1-66a020ffa63b</vt:lpwstr>
  </property>
  <property fmtid="{D5CDD505-2E9C-101B-9397-08002B2CF9AE}" pid="17" name="MSIP_Label_190751af-2442-49a7-b7b9-9f0bcce858c9_ContentBits">
    <vt:lpwstr>0</vt:lpwstr>
  </property>
  <property fmtid="{D5CDD505-2E9C-101B-9397-08002B2CF9AE}" pid="18" name="MediaServiceImageTags">
    <vt:lpwstr/>
  </property>
</Properties>
</file>